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61" w:rsidRDefault="005E3A82" w:rsidP="005E3A82">
      <w:pPr>
        <w:pStyle w:val="a3"/>
        <w:spacing w:before="67"/>
        <w:ind w:left="5245"/>
        <w:jc w:val="right"/>
      </w:pPr>
      <w:proofErr w:type="spellStart"/>
      <w:r>
        <w:t>Габдрахманов</w:t>
      </w:r>
      <w:proofErr w:type="spellEnd"/>
      <w:r>
        <w:t xml:space="preserve"> </w:t>
      </w:r>
      <w:proofErr w:type="spellStart"/>
      <w:r>
        <w:t>Нияз</w:t>
      </w:r>
      <w:proofErr w:type="spellEnd"/>
      <w:r>
        <w:rPr>
          <w:spacing w:val="-10"/>
        </w:rPr>
        <w:t xml:space="preserve"> </w:t>
      </w:r>
      <w:proofErr w:type="spellStart"/>
      <w:r>
        <w:t>Камиле</w:t>
      </w:r>
      <w:r>
        <w:t>вич</w:t>
      </w:r>
      <w:proofErr w:type="spellEnd"/>
      <w:r>
        <w:t>,</w:t>
      </w:r>
    </w:p>
    <w:p w:rsidR="005E3A82" w:rsidRDefault="005E3A82" w:rsidP="005E3A82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научный сотрудник ПУЛ «Развитие университетов» </w:t>
      </w:r>
    </w:p>
    <w:p w:rsidR="005E3A82" w:rsidRPr="00E96FE5" w:rsidRDefault="005E3A82" w:rsidP="005E3A82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Института </w:t>
      </w:r>
      <w:bookmarkStart w:id="0" w:name="_GoBack"/>
      <w:bookmarkEnd w:id="0"/>
      <w:r>
        <w:rPr>
          <w:i/>
          <w:sz w:val="28"/>
          <w:szCs w:val="28"/>
        </w:rPr>
        <w:t>образования НИУ ВШЭ</w:t>
      </w:r>
      <w:r w:rsidRPr="00E96FE5">
        <w:rPr>
          <w:i/>
          <w:sz w:val="28"/>
          <w:szCs w:val="28"/>
        </w:rPr>
        <w:t xml:space="preserve">, </w:t>
      </w:r>
    </w:p>
    <w:p w:rsidR="009A7961" w:rsidRDefault="009A7961">
      <w:pPr>
        <w:pStyle w:val="a3"/>
        <w:spacing w:before="4"/>
        <w:ind w:left="0"/>
        <w:rPr>
          <w:i/>
        </w:rPr>
      </w:pPr>
    </w:p>
    <w:p w:rsidR="009A7961" w:rsidRDefault="005E3A82">
      <w:pPr>
        <w:spacing w:before="1"/>
        <w:ind w:left="303" w:right="311"/>
        <w:jc w:val="center"/>
        <w:rPr>
          <w:b/>
          <w:sz w:val="28"/>
        </w:rPr>
      </w:pPr>
      <w:r>
        <w:rPr>
          <w:b/>
          <w:sz w:val="28"/>
        </w:rPr>
        <w:t>Балансовая модель спроса и предложения рынка труда и образования Республики Татарстан в Приволжском федеральном округе</w:t>
      </w:r>
    </w:p>
    <w:p w:rsidR="009A7961" w:rsidRDefault="009A7961">
      <w:pPr>
        <w:pStyle w:val="a3"/>
        <w:spacing w:before="5"/>
        <w:ind w:left="0"/>
        <w:rPr>
          <w:b/>
          <w:sz w:val="27"/>
        </w:rPr>
      </w:pPr>
    </w:p>
    <w:p w:rsidR="009A7961" w:rsidRDefault="005E3A82">
      <w:pPr>
        <w:pStyle w:val="a3"/>
        <w:ind w:right="102" w:firstLine="707"/>
        <w:jc w:val="both"/>
      </w:pPr>
      <w:r>
        <w:t>Современный рынок труда серьезно изменился в последние десять лет и продолжается изменяться. Достаточно обратиться к атласу новых профессий, чтобы представить изменения на рынке труда, которые нас ожидают в ближайшем будущем. В тоже время система образован</w:t>
      </w:r>
      <w:r>
        <w:t xml:space="preserve">ия не в полной мере успевает обеспечить экономику страны работниками, владеющими современными технологиями, не говоря о тех </w:t>
      </w:r>
      <w:proofErr w:type="gramStart"/>
      <w:r>
        <w:t>технологиях</w:t>
      </w:r>
      <w:proofErr w:type="gramEnd"/>
      <w:r>
        <w:t xml:space="preserve"> которые появятся через 5-10 лет. Это вызывает диспропорцию в балансовой модели формирования и распределения трудовых рес</w:t>
      </w:r>
      <w:r>
        <w:t xml:space="preserve">урсов. С одной стороны это открывает для молодежи ниши с высоким спросом и возможностью трудоустроиться, для системы образования формирует спрос на программы повышения квалификации для людей </w:t>
      </w:r>
      <w:proofErr w:type="gramStart"/>
      <w:r>
        <w:t>более старших</w:t>
      </w:r>
      <w:proofErr w:type="gramEnd"/>
      <w:r>
        <w:rPr>
          <w:spacing w:val="-6"/>
        </w:rPr>
        <w:t xml:space="preserve"> </w:t>
      </w:r>
      <w:r>
        <w:t>возрастов.</w:t>
      </w:r>
    </w:p>
    <w:p w:rsidR="009A7961" w:rsidRDefault="005E3A82">
      <w:pPr>
        <w:pStyle w:val="a3"/>
        <w:spacing w:before="1" w:after="7"/>
        <w:ind w:right="103" w:firstLine="707"/>
        <w:jc w:val="both"/>
      </w:pPr>
      <w:r>
        <w:t>Исследование строится на данных монитори</w:t>
      </w:r>
      <w:r>
        <w:t>нга трудоустройства выпускников Министерства образования и науки Российской федерации, Федеральной службы государственной статистики Российской федерации, Территориального органа Федеральной службы государственной статистики по Республике Татарстан, а такж</w:t>
      </w:r>
      <w:r>
        <w:t xml:space="preserve">е данных Мониторинга качества приема в вузы РФ, </w:t>
      </w:r>
      <w:proofErr w:type="gramStart"/>
      <w:r>
        <w:t>проводимом</w:t>
      </w:r>
      <w:proofErr w:type="gramEnd"/>
      <w:r>
        <w:t xml:space="preserve"> рабочей группой НИУ ВШЭ.</w:t>
      </w:r>
    </w:p>
    <w:p w:rsidR="009A7961" w:rsidRDefault="005E3A82">
      <w:pPr>
        <w:pStyle w:val="a3"/>
        <w:ind w:left="10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967813" cy="39013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7813" cy="390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961" w:rsidRDefault="005E3A82">
      <w:pPr>
        <w:pStyle w:val="a3"/>
        <w:spacing w:line="292" w:lineRule="exact"/>
        <w:ind w:left="2406"/>
      </w:pPr>
      <w:r>
        <w:t xml:space="preserve">Рис.1 Контингент студентов </w:t>
      </w:r>
      <w:proofErr w:type="gramStart"/>
      <w:r>
        <w:t>в</w:t>
      </w:r>
      <w:proofErr w:type="gramEnd"/>
      <w:r>
        <w:t xml:space="preserve"> ВО ПФО</w:t>
      </w:r>
    </w:p>
    <w:p w:rsidR="009A7961" w:rsidRDefault="005E3A82">
      <w:pPr>
        <w:pStyle w:val="a3"/>
        <w:ind w:right="103" w:firstLine="707"/>
        <w:jc w:val="both"/>
      </w:pPr>
      <w:r>
        <w:t>В Республике Татарстан обучается почти 20% студентов Приволжского федерального округа, ближе всего по данному показателю Республика</w:t>
      </w:r>
    </w:p>
    <w:p w:rsidR="009A7961" w:rsidRDefault="009A7961">
      <w:pPr>
        <w:jc w:val="both"/>
        <w:sectPr w:rsidR="009A796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A7961" w:rsidRDefault="005E3A82">
      <w:pPr>
        <w:pStyle w:val="a3"/>
        <w:spacing w:before="67" w:line="242" w:lineRule="auto"/>
        <w:ind w:right="11"/>
      </w:pPr>
      <w:r>
        <w:lastRenderedPageBreak/>
        <w:t>Башкортостан (12%), Нижегородская область (11%) и Самарская область (12%) (Рис.1).</w:t>
      </w:r>
    </w:p>
    <w:p w:rsidR="009A7961" w:rsidRDefault="005E3A82">
      <w:pPr>
        <w:pStyle w:val="a3"/>
        <w:ind w:right="104" w:firstLine="707"/>
        <w:jc w:val="both"/>
      </w:pPr>
      <w:r>
        <w:t>В оценке привлекательности региона для дальнейшего трудоустройства является показатель, отражающий отношение числа уехавших из региона выпускников к числу о</w:t>
      </w:r>
      <w:r>
        <w:t xml:space="preserve">ставшихся. Если он близок нулю, </w:t>
      </w:r>
      <w:proofErr w:type="gramStart"/>
      <w:r>
        <w:t>значит</w:t>
      </w:r>
      <w:proofErr w:type="gramEnd"/>
      <w:r>
        <w:t xml:space="preserve"> большинство выпускников трудоустроилось внутри региона, если показатель близок к единице, то это означает, что практически все выпускники трудоустроились за пределами региона. По данному показателю Республика Татарста</w:t>
      </w:r>
      <w:r>
        <w:t>н вместе с Нижегородской областью занимает второе место с показателем 0,3, первое место у Пермского края 0,2</w:t>
      </w:r>
      <w:r>
        <w:rPr>
          <w:spacing w:val="-5"/>
        </w:rPr>
        <w:t xml:space="preserve"> </w:t>
      </w:r>
      <w:r>
        <w:t>(Рис.2).</w:t>
      </w:r>
    </w:p>
    <w:p w:rsidR="009A7961" w:rsidRDefault="005E3A82">
      <w:pPr>
        <w:pStyle w:val="a3"/>
        <w:spacing w:after="3"/>
        <w:ind w:right="102" w:firstLine="707"/>
        <w:jc w:val="both"/>
      </w:pPr>
      <w:r>
        <w:t>Второй важный показатель - отношение средней суммы выплат уехавшим выпускникам к средней сумме выплат оставшимся выпускникам. Если данный показатель близок к единице, то уровень заработной платы конкурентоспособен с другими, более привлекательными регионам</w:t>
      </w:r>
      <w:r>
        <w:t>и. По данному показателю Республика Татарстан попала в группу с Самарской областью и Удмуртской Республикой, уступила Республике Марий-Эл, Оренбургской и Нижегородской областям и Пермскому краю. При этом важно учитывать средний уровень выплат оставшимся вы</w:t>
      </w:r>
      <w:r>
        <w:t>пускникам, и по данному показателю Республика Татарстан выглядит привлекательным регионом.</w:t>
      </w:r>
    </w:p>
    <w:p w:rsidR="009A7961" w:rsidRDefault="005E3A82">
      <w:pPr>
        <w:pStyle w:val="a3"/>
        <w:ind w:left="10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968789" cy="390134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8789" cy="390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961" w:rsidRDefault="005E3A82">
      <w:pPr>
        <w:pStyle w:val="a3"/>
        <w:spacing w:line="292" w:lineRule="exact"/>
        <w:ind w:left="2397"/>
      </w:pPr>
      <w:r>
        <w:t xml:space="preserve">Рис.2 Позиционирование РТ </w:t>
      </w:r>
      <w:proofErr w:type="gramStart"/>
      <w:r>
        <w:t>в</w:t>
      </w:r>
      <w:proofErr w:type="gramEnd"/>
      <w:r>
        <w:t xml:space="preserve"> ВО ПФО</w:t>
      </w:r>
    </w:p>
    <w:p w:rsidR="009A7961" w:rsidRDefault="005E3A82">
      <w:pPr>
        <w:pStyle w:val="a3"/>
        <w:ind w:right="110" w:firstLine="707"/>
        <w:jc w:val="both"/>
      </w:pPr>
      <w:r>
        <w:t xml:space="preserve">Как и во многих округах нашей страны, большинство выпускников по УГС 38 Экономика и управление (30%), второе место занимает УГС </w:t>
      </w:r>
      <w:r>
        <w:t xml:space="preserve">40 Юриспруденция (12%), все другие специальности на порядок меньше. При этом доля трудоустроенных выпускников составляет 81% (для сведения в юриспруденции всего 62%), этот факт говорит о том, что несмотря </w:t>
      </w:r>
      <w:proofErr w:type="gramStart"/>
      <w:r>
        <w:t>на</w:t>
      </w:r>
      <w:proofErr w:type="gramEnd"/>
    </w:p>
    <w:p w:rsidR="009A7961" w:rsidRDefault="009A7961">
      <w:pPr>
        <w:jc w:val="both"/>
        <w:sectPr w:rsidR="009A7961">
          <w:pgSz w:w="11910" w:h="16840"/>
          <w:pgMar w:top="1040" w:right="740" w:bottom="280" w:left="1600" w:header="720" w:footer="720" w:gutter="0"/>
          <w:cols w:space="720"/>
        </w:sectPr>
      </w:pPr>
    </w:p>
    <w:p w:rsidR="009A7961" w:rsidRDefault="005E3A82">
      <w:pPr>
        <w:pStyle w:val="a3"/>
        <w:spacing w:before="67" w:line="242" w:lineRule="auto"/>
      </w:pPr>
      <w:r>
        <w:lastRenderedPageBreak/>
        <w:t>большое количество выпускников, сп</w:t>
      </w:r>
      <w:r>
        <w:t>рос не них на рынке труда достаточно высок.</w:t>
      </w:r>
    </w:p>
    <w:p w:rsidR="009A7961" w:rsidRDefault="005E3A82">
      <w:pPr>
        <w:pStyle w:val="a3"/>
        <w:ind w:right="105" w:firstLine="707"/>
        <w:jc w:val="both"/>
      </w:pPr>
      <w:r>
        <w:t>Анализ конкурентоспособности выплат и трудовой миграции позволил определить позиционирование УГС 38 среди других групп специальностей в Приволжском федеральном округе. По уровню выплат является</w:t>
      </w:r>
    </w:p>
    <w:p w:rsidR="009A7961" w:rsidRDefault="005E3A82">
      <w:pPr>
        <w:pStyle w:val="a3"/>
        <w:spacing w:after="3"/>
      </w:pPr>
      <w:r>
        <w:t xml:space="preserve">«середнячком», </w:t>
      </w:r>
      <w:proofErr w:type="gramStart"/>
      <w:r>
        <w:t>одн</w:t>
      </w:r>
      <w:r>
        <w:t>ако</w:t>
      </w:r>
      <w:proofErr w:type="gramEnd"/>
      <w:r>
        <w:t xml:space="preserve"> выпускники стараются трудоустроиться за пределами своего региона (чуть меньше половины) (Рис.3).</w:t>
      </w:r>
    </w:p>
    <w:p w:rsidR="009A7961" w:rsidRDefault="005E3A82">
      <w:pPr>
        <w:pStyle w:val="a3"/>
        <w:ind w:left="101" w:right="-29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995165" cy="391858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5165" cy="391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961" w:rsidRDefault="005E3A82">
      <w:pPr>
        <w:pStyle w:val="a3"/>
        <w:spacing w:line="265" w:lineRule="exact"/>
        <w:ind w:left="2110"/>
      </w:pPr>
      <w:r>
        <w:t xml:space="preserve">Рис.3 Позиционирование УГС 38 </w:t>
      </w:r>
      <w:proofErr w:type="gramStart"/>
      <w:r>
        <w:t>в</w:t>
      </w:r>
      <w:proofErr w:type="gramEnd"/>
      <w:r>
        <w:t xml:space="preserve"> ВО ПФО</w:t>
      </w:r>
    </w:p>
    <w:p w:rsidR="009A7961" w:rsidRDefault="005E3A82">
      <w:pPr>
        <w:pStyle w:val="a3"/>
        <w:ind w:right="104" w:firstLine="707"/>
        <w:jc w:val="both"/>
      </w:pPr>
      <w:r>
        <w:t>Выпускники УГС 38 в Республике Татарстан также чувствуют себя весьма комфортно. Большинство из них трудоустраивает</w:t>
      </w:r>
      <w:r>
        <w:t>ся у себя в регионе и чуть меньше половины находит работу в других, при этом получает выплаты не намного больше. Поэтому большинство предпочитает продолжать работать на благо Республики Татарстан.</w:t>
      </w:r>
    </w:p>
    <w:p w:rsidR="009A7961" w:rsidRDefault="005E3A82">
      <w:pPr>
        <w:pStyle w:val="a3"/>
        <w:ind w:right="104" w:firstLine="707"/>
        <w:jc w:val="both"/>
      </w:pPr>
      <w:r>
        <w:t>Дальнейшее исследование данной проблематики строится на соо</w:t>
      </w:r>
      <w:r>
        <w:t xml:space="preserve">тнесении предложений образовательных учреждений Приволжского федерального округа и спроса со стороны различных отраслей региональных экономик. Таким образом, проводимое исследование должно подтвердить или опровергнуть гипотезу о наличии эффекта отклика на </w:t>
      </w:r>
      <w:r>
        <w:t>диверсификацию и реструктуризацию экономики в регионах Приволжского федерального округа в образовательных учреждениях. Показать разрыв между предложениями образовательных программ университетов и сбросом в реальном секторе экономики.</w:t>
      </w:r>
    </w:p>
    <w:sectPr w:rsidR="009A796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A7961"/>
    <w:rsid w:val="005E3A82"/>
    <w:rsid w:val="009A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E3A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A8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3736</Characters>
  <Application>Microsoft Office Word</Application>
  <DocSecurity>0</DocSecurity>
  <Lines>31</Lines>
  <Paragraphs>8</Paragraphs>
  <ScaleCrop>false</ScaleCrop>
  <Company>Hewlett-Packard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Гирфанова Линара Альфредовна</dc:creator>
  <cp:lastModifiedBy>Гирфанова Линара Альфредовна</cp:lastModifiedBy>
  <cp:revision>2</cp:revision>
  <dcterms:created xsi:type="dcterms:W3CDTF">2018-09-14T13:08:00Z</dcterms:created>
  <dcterms:modified xsi:type="dcterms:W3CDTF">2018-09-14T13:09:00Z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2018-09-14T00:00:00Z</vt:filetime>
  </property>
</Properties>
</file>